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ED63" w14:textId="77777777" w:rsidR="00027B46" w:rsidRPr="00027B46" w:rsidRDefault="00027B46" w:rsidP="00027B46">
      <w:pPr>
        <w:pStyle w:val="Otsikko10"/>
        <w:rPr>
          <w:sz w:val="36"/>
          <w:szCs w:val="36"/>
        </w:rPr>
      </w:pPr>
      <w:proofErr w:type="spellStart"/>
      <w:r w:rsidRPr="00027B46">
        <w:rPr>
          <w:sz w:val="36"/>
          <w:szCs w:val="36"/>
        </w:rPr>
        <w:t>Kuvantaohjatun</w:t>
      </w:r>
      <w:proofErr w:type="spellEnd"/>
      <w:r w:rsidRPr="00027B46">
        <w:rPr>
          <w:sz w:val="36"/>
          <w:szCs w:val="36"/>
        </w:rPr>
        <w:t xml:space="preserve"> sisäelinbiopsia- ja </w:t>
      </w:r>
      <w:proofErr w:type="spellStart"/>
      <w:r w:rsidRPr="00027B46">
        <w:rPr>
          <w:sz w:val="36"/>
          <w:szCs w:val="36"/>
        </w:rPr>
        <w:t>drenaasipotilaan</w:t>
      </w:r>
      <w:proofErr w:type="spellEnd"/>
      <w:r w:rsidRPr="00027B46">
        <w:rPr>
          <w:sz w:val="36"/>
          <w:szCs w:val="36"/>
        </w:rPr>
        <w:t xml:space="preserve"> </w:t>
      </w:r>
      <w:proofErr w:type="spellStart"/>
      <w:r w:rsidRPr="00027B46">
        <w:rPr>
          <w:sz w:val="36"/>
          <w:szCs w:val="36"/>
        </w:rPr>
        <w:t>antitromboottisen</w:t>
      </w:r>
      <w:proofErr w:type="spellEnd"/>
      <w:r w:rsidRPr="00027B46">
        <w:rPr>
          <w:sz w:val="36"/>
          <w:szCs w:val="36"/>
        </w:rPr>
        <w:t xml:space="preserve"> lääkityksen tauottaminen</w:t>
      </w:r>
    </w:p>
    <w:p w14:paraId="60C3E35F" w14:textId="79596AAA" w:rsidR="00027B46" w:rsidRDefault="00027B46" w:rsidP="00027B46">
      <w:pPr>
        <w:jc w:val="both"/>
        <w:rPr>
          <w:b/>
        </w:rPr>
      </w:pPr>
      <w:r>
        <w:t xml:space="preserve">Toimenpidettä </w:t>
      </w:r>
      <w:r w:rsidRPr="00FC756B">
        <w:t xml:space="preserve">suunniteltaessa hoitavan lääkärin velvollisuus on perehtyä potilaan verta ohentavaan lääkitykseen ja arvioida sen </w:t>
      </w:r>
      <w:r>
        <w:t xml:space="preserve">aiheuttama vuotoriski toimenpiteessä sekä toisaalta lääkityksen keskeytyksestä </w:t>
      </w:r>
      <w:r w:rsidRPr="000F2F6F">
        <w:t>aiheutuva</w:t>
      </w:r>
      <w:r>
        <w:t>t</w:t>
      </w:r>
      <w:r w:rsidRPr="000F2F6F">
        <w:t xml:space="preserve"> riski</w:t>
      </w:r>
      <w:r>
        <w:t xml:space="preserve">t. </w:t>
      </w:r>
      <w:proofErr w:type="spellStart"/>
      <w:r>
        <w:t>Antitromboottista</w:t>
      </w:r>
      <w:proofErr w:type="spellEnd"/>
      <w:r>
        <w:t xml:space="preserve"> lääkitystä ei pääsääntöisesti keskeytetä</w:t>
      </w:r>
      <w:r w:rsidRPr="000F2F6F">
        <w:t xml:space="preserve"> 6 viikon sisällä sepelvaltimon metallistentin eikä 6 kuukauden sisällä lääkeainestentin asennuksesta.</w:t>
      </w:r>
      <w:r w:rsidRPr="000F2F6F">
        <w:rPr>
          <w:b/>
        </w:rPr>
        <w:t xml:space="preserve"> </w:t>
      </w:r>
    </w:p>
    <w:p w14:paraId="55F68DF3" w14:textId="77777777" w:rsidR="00027B46" w:rsidRPr="000F2F6F" w:rsidRDefault="00027B46" w:rsidP="00027B46">
      <w:pPr>
        <w:pStyle w:val="Otsikko10"/>
      </w:pPr>
      <w:r>
        <w:t xml:space="preserve">Sisäelinbiopsiat ja syvät </w:t>
      </w:r>
      <w:proofErr w:type="spellStart"/>
      <w:r>
        <w:t>dreneeraukset</w:t>
      </w:r>
      <w:proofErr w:type="spellEnd"/>
      <w:r>
        <w:t>:</w:t>
      </w:r>
    </w:p>
    <w:p w14:paraId="6EB08654" w14:textId="77777777" w:rsidR="00027B46" w:rsidRPr="000F2F6F" w:rsidRDefault="00027B46" w:rsidP="00027B46"/>
    <w:tbl>
      <w:tblPr>
        <w:tblW w:w="4928" w:type="pct"/>
        <w:tblCellSpacing w:w="0" w:type="dxa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59"/>
        <w:gridCol w:w="3171"/>
        <w:gridCol w:w="2563"/>
      </w:tblGrid>
      <w:tr w:rsidR="00027B46" w:rsidRPr="000F2F6F" w14:paraId="210F6A78" w14:textId="77777777" w:rsidTr="00027B46">
        <w:trPr>
          <w:trHeight w:val="550"/>
          <w:tblCellSpacing w:w="0" w:type="dxa"/>
        </w:trPr>
        <w:tc>
          <w:tcPr>
            <w:tcW w:w="1980" w:type="pct"/>
            <w:vAlign w:val="center"/>
          </w:tcPr>
          <w:p w14:paraId="051E49AB" w14:textId="77777777" w:rsidR="00027B46" w:rsidRPr="000F2F6F" w:rsidRDefault="00027B46" w:rsidP="00806698">
            <w:pPr>
              <w:jc w:val="center"/>
              <w:rPr>
                <w:b/>
              </w:rPr>
            </w:pPr>
            <w:bookmarkStart w:id="0" w:name="T4"/>
            <w:bookmarkEnd w:id="0"/>
            <w:r w:rsidRPr="000F2F6F">
              <w:rPr>
                <w:b/>
              </w:rPr>
              <w:t>Lääkitys</w:t>
            </w:r>
          </w:p>
        </w:tc>
        <w:tc>
          <w:tcPr>
            <w:tcW w:w="1670" w:type="pct"/>
            <w:vAlign w:val="center"/>
          </w:tcPr>
          <w:p w14:paraId="75FCD00D" w14:textId="77777777" w:rsidR="00027B46" w:rsidRPr="000F2F6F" w:rsidRDefault="00027B46" w:rsidP="00806698">
            <w:pPr>
              <w:jc w:val="center"/>
              <w:rPr>
                <w:b/>
              </w:rPr>
            </w:pPr>
            <w:r w:rsidRPr="000F2F6F">
              <w:rPr>
                <w:b/>
              </w:rPr>
              <w:t xml:space="preserve">Tauko ennen punktiota </w:t>
            </w:r>
          </w:p>
        </w:tc>
        <w:tc>
          <w:tcPr>
            <w:tcW w:w="1350" w:type="pct"/>
            <w:vAlign w:val="center"/>
          </w:tcPr>
          <w:p w14:paraId="7EC685FE" w14:textId="6BFDB92F" w:rsidR="00027B46" w:rsidRPr="000F2F6F" w:rsidRDefault="00027B46" w:rsidP="00806698">
            <w:pPr>
              <w:jc w:val="center"/>
              <w:rPr>
                <w:b/>
              </w:rPr>
            </w:pPr>
            <w:r w:rsidRPr="000F2F6F">
              <w:rPr>
                <w:b/>
              </w:rPr>
              <w:t xml:space="preserve">Lääkityksen aloitus </w:t>
            </w:r>
            <w:r w:rsidRPr="000F2F6F">
              <w:rPr>
                <w:b/>
              </w:rPr>
              <w:t>punktion jälkeen</w:t>
            </w:r>
          </w:p>
        </w:tc>
      </w:tr>
      <w:tr w:rsidR="00027B46" w:rsidRPr="000F2F6F" w14:paraId="490C3DDB" w14:textId="77777777" w:rsidTr="00027B46">
        <w:trPr>
          <w:trHeight w:val="268"/>
          <w:tblCellSpacing w:w="0" w:type="dxa"/>
        </w:trPr>
        <w:tc>
          <w:tcPr>
            <w:tcW w:w="1980" w:type="pct"/>
            <w:vAlign w:val="center"/>
          </w:tcPr>
          <w:p w14:paraId="6774478C" w14:textId="77777777" w:rsidR="00027B46" w:rsidRPr="000F2F6F" w:rsidRDefault="00027B46" w:rsidP="00806698">
            <w:proofErr w:type="spellStart"/>
            <w:r w:rsidRPr="000F2F6F">
              <w:t>Primaspan</w:t>
            </w:r>
            <w:proofErr w:type="spellEnd"/>
          </w:p>
        </w:tc>
        <w:tc>
          <w:tcPr>
            <w:tcW w:w="1670" w:type="pct"/>
            <w:vAlign w:val="center"/>
          </w:tcPr>
          <w:p w14:paraId="72E9AA69" w14:textId="74E38F1B" w:rsidR="00027B46" w:rsidRPr="000F2F6F" w:rsidRDefault="00027B46" w:rsidP="00806698">
            <w:r w:rsidRPr="000F2F6F">
              <w:t>ei taukoa</w:t>
            </w:r>
            <w:r>
              <w:t xml:space="preserve">, </w:t>
            </w:r>
            <w:r>
              <w:t>munuaisbiopsia 7</w:t>
            </w:r>
            <w:r>
              <w:t xml:space="preserve"> vrk</w:t>
            </w:r>
            <w:r w:rsidRPr="000F2F6F">
              <w:t xml:space="preserve"> </w:t>
            </w:r>
          </w:p>
        </w:tc>
        <w:tc>
          <w:tcPr>
            <w:tcW w:w="1350" w:type="pct"/>
            <w:vAlign w:val="center"/>
          </w:tcPr>
          <w:p w14:paraId="093B7536" w14:textId="77777777" w:rsidR="00027B46" w:rsidRPr="000F2F6F" w:rsidRDefault="00027B46" w:rsidP="00806698">
            <w:r w:rsidRPr="000F2F6F">
              <w:t>-</w:t>
            </w:r>
          </w:p>
        </w:tc>
      </w:tr>
      <w:tr w:rsidR="00027B46" w:rsidRPr="000F2F6F" w14:paraId="199F1E0E" w14:textId="77777777" w:rsidTr="00027B46">
        <w:trPr>
          <w:trHeight w:val="282"/>
          <w:tblCellSpacing w:w="0" w:type="dxa"/>
        </w:trPr>
        <w:tc>
          <w:tcPr>
            <w:tcW w:w="1980" w:type="pct"/>
            <w:vAlign w:val="center"/>
          </w:tcPr>
          <w:p w14:paraId="75ADDEF6" w14:textId="77777777" w:rsidR="00027B46" w:rsidRPr="000F2F6F" w:rsidRDefault="00027B46" w:rsidP="00806698">
            <w:proofErr w:type="spellStart"/>
            <w:r w:rsidRPr="000F2F6F">
              <w:t>Asasantin</w:t>
            </w:r>
            <w:proofErr w:type="spellEnd"/>
            <w:r w:rsidRPr="000F2F6F">
              <w:t xml:space="preserve">, </w:t>
            </w:r>
            <w:proofErr w:type="spellStart"/>
            <w:r w:rsidRPr="000F2F6F">
              <w:t>Orisantin</w:t>
            </w:r>
            <w:proofErr w:type="spellEnd"/>
          </w:p>
        </w:tc>
        <w:tc>
          <w:tcPr>
            <w:tcW w:w="1670" w:type="pct"/>
            <w:vAlign w:val="center"/>
          </w:tcPr>
          <w:p w14:paraId="2A4F6C7E" w14:textId="77777777" w:rsidR="00027B46" w:rsidRPr="000F2F6F" w:rsidRDefault="00027B46" w:rsidP="00806698">
            <w:r w:rsidRPr="000F2F6F">
              <w:t>2 vrk</w:t>
            </w:r>
            <w:r>
              <w:t>, munuaisbiopsia 7 vrk</w:t>
            </w:r>
          </w:p>
        </w:tc>
        <w:tc>
          <w:tcPr>
            <w:tcW w:w="1350" w:type="pct"/>
            <w:vAlign w:val="center"/>
          </w:tcPr>
          <w:p w14:paraId="4401F19E" w14:textId="77777777" w:rsidR="00027B46" w:rsidRPr="000F2F6F" w:rsidRDefault="00027B46" w:rsidP="00806698">
            <w:r w:rsidRPr="000F2F6F">
              <w:t>4 tuntia</w:t>
            </w:r>
          </w:p>
        </w:tc>
      </w:tr>
      <w:tr w:rsidR="00027B46" w:rsidRPr="000F2F6F" w14:paraId="4EC694D6" w14:textId="77777777" w:rsidTr="00027B46">
        <w:trPr>
          <w:trHeight w:val="268"/>
          <w:tblCellSpacing w:w="0" w:type="dxa"/>
        </w:trPr>
        <w:tc>
          <w:tcPr>
            <w:tcW w:w="1980" w:type="pct"/>
            <w:vAlign w:val="center"/>
          </w:tcPr>
          <w:p w14:paraId="0850C8E5" w14:textId="77777777" w:rsidR="00027B46" w:rsidRPr="000F2F6F" w:rsidRDefault="00027B46" w:rsidP="00806698">
            <w:r w:rsidRPr="000F2F6F">
              <w:t>Marevan</w:t>
            </w:r>
          </w:p>
        </w:tc>
        <w:tc>
          <w:tcPr>
            <w:tcW w:w="1670" w:type="pct"/>
            <w:vAlign w:val="center"/>
          </w:tcPr>
          <w:p w14:paraId="1E37A973" w14:textId="77777777" w:rsidR="00027B46" w:rsidRPr="000F2F6F" w:rsidRDefault="00027B46" w:rsidP="00806698">
            <w:r w:rsidRPr="000F2F6F">
              <w:t xml:space="preserve">kunnes INR on alle 1,5 </w:t>
            </w:r>
          </w:p>
        </w:tc>
        <w:tc>
          <w:tcPr>
            <w:tcW w:w="1350" w:type="pct"/>
            <w:vAlign w:val="center"/>
          </w:tcPr>
          <w:p w14:paraId="586C535A" w14:textId="77777777" w:rsidR="00027B46" w:rsidRPr="000F2F6F" w:rsidRDefault="00027B46" w:rsidP="00806698">
            <w:r w:rsidRPr="000F2F6F">
              <w:t>4 tuntia</w:t>
            </w:r>
          </w:p>
        </w:tc>
      </w:tr>
      <w:tr w:rsidR="00027B46" w:rsidRPr="000F2F6F" w14:paraId="27E88E4E" w14:textId="77777777" w:rsidTr="00027B46">
        <w:trPr>
          <w:trHeight w:val="360"/>
          <w:tblCellSpacing w:w="0" w:type="dxa"/>
        </w:trPr>
        <w:tc>
          <w:tcPr>
            <w:tcW w:w="1980" w:type="pct"/>
            <w:vAlign w:val="center"/>
          </w:tcPr>
          <w:p w14:paraId="3348BA39" w14:textId="77777777" w:rsidR="00027B46" w:rsidRPr="000F2F6F" w:rsidRDefault="00027B46" w:rsidP="00806698">
            <w:proofErr w:type="spellStart"/>
            <w:r w:rsidRPr="000F2F6F">
              <w:t>Clopidogrel</w:t>
            </w:r>
            <w:proofErr w:type="spellEnd"/>
            <w:r w:rsidRPr="000F2F6F">
              <w:t xml:space="preserve">, </w:t>
            </w:r>
            <w:proofErr w:type="spellStart"/>
            <w:r w:rsidRPr="000F2F6F">
              <w:t>Brilique</w:t>
            </w:r>
            <w:proofErr w:type="spellEnd"/>
            <w:r w:rsidRPr="000F2F6F">
              <w:t xml:space="preserve">, </w:t>
            </w:r>
            <w:proofErr w:type="spellStart"/>
            <w:r w:rsidRPr="000F2F6F">
              <w:t>Efient</w:t>
            </w:r>
            <w:proofErr w:type="spellEnd"/>
            <w:r w:rsidRPr="000F2F6F">
              <w:t xml:space="preserve">, </w:t>
            </w:r>
            <w:proofErr w:type="spellStart"/>
            <w:r w:rsidRPr="000F2F6F">
              <w:t>Plavix</w:t>
            </w:r>
            <w:proofErr w:type="spellEnd"/>
          </w:p>
        </w:tc>
        <w:tc>
          <w:tcPr>
            <w:tcW w:w="1670" w:type="pct"/>
            <w:vAlign w:val="center"/>
          </w:tcPr>
          <w:p w14:paraId="081CE671" w14:textId="77777777" w:rsidR="00027B46" w:rsidRPr="000F2F6F" w:rsidRDefault="00027B46" w:rsidP="00806698">
            <w:r w:rsidRPr="000F2F6F">
              <w:t xml:space="preserve">7 vrk </w:t>
            </w:r>
          </w:p>
        </w:tc>
        <w:tc>
          <w:tcPr>
            <w:tcW w:w="1350" w:type="pct"/>
            <w:vAlign w:val="center"/>
          </w:tcPr>
          <w:p w14:paraId="57C12656" w14:textId="77777777" w:rsidR="00027B46" w:rsidRPr="000F2F6F" w:rsidRDefault="00027B46" w:rsidP="00806698">
            <w:r w:rsidRPr="000F2F6F">
              <w:t xml:space="preserve">4 tuntia </w:t>
            </w:r>
          </w:p>
        </w:tc>
      </w:tr>
      <w:tr w:rsidR="00027B46" w:rsidRPr="000F2F6F" w14:paraId="47477AB6" w14:textId="77777777" w:rsidTr="00027B46">
        <w:trPr>
          <w:trHeight w:val="268"/>
          <w:tblCellSpacing w:w="0" w:type="dxa"/>
        </w:trPr>
        <w:tc>
          <w:tcPr>
            <w:tcW w:w="1980" w:type="pct"/>
            <w:vAlign w:val="center"/>
          </w:tcPr>
          <w:p w14:paraId="1FA810BE" w14:textId="77777777" w:rsidR="00027B46" w:rsidRPr="000F2F6F" w:rsidRDefault="00027B46" w:rsidP="00806698">
            <w:proofErr w:type="spellStart"/>
            <w:r w:rsidRPr="000F2F6F">
              <w:t>Arixtra</w:t>
            </w:r>
            <w:proofErr w:type="spellEnd"/>
            <w:r w:rsidRPr="000F2F6F">
              <w:t xml:space="preserve">, </w:t>
            </w:r>
            <w:proofErr w:type="spellStart"/>
            <w:r w:rsidRPr="000F2F6F">
              <w:t>Eliquis</w:t>
            </w:r>
            <w:proofErr w:type="spellEnd"/>
            <w:r w:rsidRPr="000F2F6F">
              <w:t xml:space="preserve">, </w:t>
            </w:r>
            <w:proofErr w:type="spellStart"/>
            <w:r w:rsidRPr="000F2F6F">
              <w:t>Pradaxa</w:t>
            </w:r>
            <w:proofErr w:type="spellEnd"/>
            <w:r w:rsidRPr="000F2F6F">
              <w:t xml:space="preserve">, </w:t>
            </w:r>
            <w:proofErr w:type="spellStart"/>
            <w:r w:rsidRPr="000F2F6F">
              <w:t>Xarelto</w:t>
            </w:r>
            <w:proofErr w:type="spellEnd"/>
          </w:p>
        </w:tc>
        <w:tc>
          <w:tcPr>
            <w:tcW w:w="1670" w:type="pct"/>
            <w:vAlign w:val="center"/>
          </w:tcPr>
          <w:p w14:paraId="0D970AAA" w14:textId="77777777" w:rsidR="00027B46" w:rsidRPr="000F2F6F" w:rsidRDefault="00027B46" w:rsidP="00806698">
            <w:r w:rsidRPr="000F2F6F">
              <w:t>2 vrk</w:t>
            </w:r>
          </w:p>
        </w:tc>
        <w:tc>
          <w:tcPr>
            <w:tcW w:w="1350" w:type="pct"/>
            <w:vAlign w:val="center"/>
          </w:tcPr>
          <w:p w14:paraId="7680D3BA" w14:textId="77777777" w:rsidR="00027B46" w:rsidRPr="000F2F6F" w:rsidRDefault="00027B46" w:rsidP="00806698">
            <w:r w:rsidRPr="000F2F6F">
              <w:t>4 tuntia</w:t>
            </w:r>
          </w:p>
        </w:tc>
      </w:tr>
      <w:tr w:rsidR="00027B46" w:rsidRPr="000F2F6F" w14:paraId="40242E58" w14:textId="77777777" w:rsidTr="00027B46">
        <w:trPr>
          <w:trHeight w:val="301"/>
          <w:tblCellSpacing w:w="0" w:type="dxa"/>
        </w:trPr>
        <w:tc>
          <w:tcPr>
            <w:tcW w:w="1980" w:type="pct"/>
            <w:vAlign w:val="center"/>
          </w:tcPr>
          <w:p w14:paraId="1C3B6093" w14:textId="77777777" w:rsidR="00027B46" w:rsidRPr="000F2F6F" w:rsidRDefault="00027B46" w:rsidP="00806698">
            <w:proofErr w:type="spellStart"/>
            <w:r w:rsidRPr="000F2F6F">
              <w:t>Fragmin</w:t>
            </w:r>
            <w:proofErr w:type="spellEnd"/>
            <w:r w:rsidRPr="000F2F6F">
              <w:t xml:space="preserve">, </w:t>
            </w:r>
            <w:proofErr w:type="spellStart"/>
            <w:r w:rsidRPr="000F2F6F">
              <w:t>Klexane</w:t>
            </w:r>
            <w:proofErr w:type="spellEnd"/>
            <w:r w:rsidRPr="000F2F6F">
              <w:t xml:space="preserve">, </w:t>
            </w:r>
            <w:proofErr w:type="spellStart"/>
            <w:r w:rsidRPr="000F2F6F">
              <w:t>Innohep</w:t>
            </w:r>
            <w:proofErr w:type="spellEnd"/>
            <w:r>
              <w:t xml:space="preserve">, </w:t>
            </w:r>
            <w:proofErr w:type="spellStart"/>
            <w:r>
              <w:t>Ghemaxan</w:t>
            </w:r>
            <w:proofErr w:type="spellEnd"/>
          </w:p>
        </w:tc>
        <w:tc>
          <w:tcPr>
            <w:tcW w:w="1670" w:type="pct"/>
            <w:vAlign w:val="center"/>
          </w:tcPr>
          <w:p w14:paraId="2CF4B3AE" w14:textId="77777777" w:rsidR="00027B46" w:rsidRPr="000F2F6F" w:rsidRDefault="00027B46" w:rsidP="00806698"/>
        </w:tc>
        <w:tc>
          <w:tcPr>
            <w:tcW w:w="1350" w:type="pct"/>
            <w:vAlign w:val="center"/>
          </w:tcPr>
          <w:p w14:paraId="429DF09A" w14:textId="77777777" w:rsidR="00027B46" w:rsidRPr="000F2F6F" w:rsidRDefault="00027B46" w:rsidP="00806698">
            <w:r w:rsidRPr="000F2F6F">
              <w:t xml:space="preserve"> </w:t>
            </w:r>
          </w:p>
        </w:tc>
      </w:tr>
      <w:tr w:rsidR="00027B46" w:rsidRPr="000F2F6F" w14:paraId="34466B58" w14:textId="77777777" w:rsidTr="00027B46">
        <w:trPr>
          <w:trHeight w:val="282"/>
          <w:tblCellSpacing w:w="0" w:type="dxa"/>
        </w:trPr>
        <w:tc>
          <w:tcPr>
            <w:tcW w:w="1980" w:type="pct"/>
            <w:vAlign w:val="center"/>
          </w:tcPr>
          <w:p w14:paraId="4712BD1C" w14:textId="77777777" w:rsidR="00027B46" w:rsidRPr="000F2F6F" w:rsidRDefault="00027B46" w:rsidP="00806698">
            <w:r w:rsidRPr="000F2F6F">
              <w:t xml:space="preserve">  – estoannos</w:t>
            </w:r>
          </w:p>
        </w:tc>
        <w:tc>
          <w:tcPr>
            <w:tcW w:w="1670" w:type="pct"/>
            <w:vAlign w:val="center"/>
          </w:tcPr>
          <w:p w14:paraId="34EDBE87" w14:textId="77777777" w:rsidR="00027B46" w:rsidRPr="000F2F6F" w:rsidRDefault="00027B46" w:rsidP="00806698">
            <w:r w:rsidRPr="000F2F6F">
              <w:t xml:space="preserve">12 tuntia </w:t>
            </w:r>
          </w:p>
        </w:tc>
        <w:tc>
          <w:tcPr>
            <w:tcW w:w="1350" w:type="pct"/>
            <w:vAlign w:val="center"/>
          </w:tcPr>
          <w:p w14:paraId="1FB31557" w14:textId="77777777" w:rsidR="00027B46" w:rsidRPr="000F2F6F" w:rsidRDefault="00027B46" w:rsidP="00806698">
            <w:r w:rsidRPr="000F2F6F">
              <w:t xml:space="preserve">4 tuntia </w:t>
            </w:r>
          </w:p>
        </w:tc>
      </w:tr>
      <w:tr w:rsidR="00027B46" w:rsidRPr="000F2F6F" w14:paraId="77F67927" w14:textId="77777777" w:rsidTr="00027B46">
        <w:trPr>
          <w:trHeight w:val="268"/>
          <w:tblCellSpacing w:w="0" w:type="dxa"/>
        </w:trPr>
        <w:tc>
          <w:tcPr>
            <w:tcW w:w="1980" w:type="pct"/>
            <w:vAlign w:val="center"/>
          </w:tcPr>
          <w:p w14:paraId="0C90E66A" w14:textId="77777777" w:rsidR="00027B46" w:rsidRPr="000F2F6F" w:rsidRDefault="00027B46" w:rsidP="00806698">
            <w:r w:rsidRPr="000F2F6F">
              <w:t xml:space="preserve">  – hoitoannos</w:t>
            </w:r>
          </w:p>
        </w:tc>
        <w:tc>
          <w:tcPr>
            <w:tcW w:w="1670" w:type="pct"/>
            <w:vAlign w:val="center"/>
          </w:tcPr>
          <w:p w14:paraId="2DE42303" w14:textId="77777777" w:rsidR="00027B46" w:rsidRPr="000F2F6F" w:rsidRDefault="00027B46" w:rsidP="00806698">
            <w:r w:rsidRPr="000F2F6F">
              <w:t xml:space="preserve">24 tuntia </w:t>
            </w:r>
          </w:p>
        </w:tc>
        <w:tc>
          <w:tcPr>
            <w:tcW w:w="1350" w:type="pct"/>
            <w:vAlign w:val="center"/>
          </w:tcPr>
          <w:p w14:paraId="241FEDE7" w14:textId="77777777" w:rsidR="00027B46" w:rsidRPr="000F2F6F" w:rsidRDefault="00027B46" w:rsidP="00806698">
            <w:r w:rsidRPr="000F2F6F">
              <w:t xml:space="preserve">4 tuntia </w:t>
            </w:r>
          </w:p>
        </w:tc>
      </w:tr>
      <w:tr w:rsidR="00027B46" w:rsidRPr="000F2F6F" w14:paraId="347BF3BD" w14:textId="77777777" w:rsidTr="00027B46">
        <w:trPr>
          <w:trHeight w:val="268"/>
          <w:tblCellSpacing w:w="0" w:type="dxa"/>
        </w:trPr>
        <w:tc>
          <w:tcPr>
            <w:tcW w:w="1980" w:type="pct"/>
            <w:vAlign w:val="center"/>
          </w:tcPr>
          <w:p w14:paraId="4592BCE3" w14:textId="77777777" w:rsidR="00027B46" w:rsidRPr="000F2F6F" w:rsidRDefault="00027B46" w:rsidP="00806698">
            <w:proofErr w:type="spellStart"/>
            <w:r w:rsidRPr="000F2F6F">
              <w:t>Refludan</w:t>
            </w:r>
            <w:proofErr w:type="spellEnd"/>
          </w:p>
        </w:tc>
        <w:tc>
          <w:tcPr>
            <w:tcW w:w="1670" w:type="pct"/>
            <w:vAlign w:val="center"/>
          </w:tcPr>
          <w:p w14:paraId="296523B6" w14:textId="77777777" w:rsidR="00027B46" w:rsidRPr="000F2F6F" w:rsidRDefault="00027B46" w:rsidP="00806698">
            <w:r w:rsidRPr="000F2F6F">
              <w:t>8 tuntia</w:t>
            </w:r>
          </w:p>
        </w:tc>
        <w:tc>
          <w:tcPr>
            <w:tcW w:w="1350" w:type="pct"/>
            <w:vAlign w:val="center"/>
          </w:tcPr>
          <w:p w14:paraId="2817CF64" w14:textId="77777777" w:rsidR="00027B46" w:rsidRPr="000F2F6F" w:rsidRDefault="00027B46" w:rsidP="00806698">
            <w:r w:rsidRPr="000F2F6F">
              <w:t>4 tuntia</w:t>
            </w:r>
          </w:p>
        </w:tc>
      </w:tr>
      <w:tr w:rsidR="00027B46" w:rsidRPr="000F2F6F" w14:paraId="3C777C45" w14:textId="77777777" w:rsidTr="00027B46">
        <w:trPr>
          <w:trHeight w:val="226"/>
          <w:tblCellSpacing w:w="0" w:type="dxa"/>
        </w:trPr>
        <w:tc>
          <w:tcPr>
            <w:tcW w:w="1980" w:type="pct"/>
            <w:vAlign w:val="center"/>
          </w:tcPr>
          <w:p w14:paraId="12426D49" w14:textId="77777777" w:rsidR="00027B46" w:rsidRPr="000F2F6F" w:rsidRDefault="00027B46" w:rsidP="00806698">
            <w:proofErr w:type="spellStart"/>
            <w:r w:rsidRPr="000F2F6F">
              <w:t>ReoPro</w:t>
            </w:r>
            <w:proofErr w:type="spellEnd"/>
            <w:r>
              <w:t xml:space="preserve">, </w:t>
            </w:r>
            <w:proofErr w:type="spellStart"/>
            <w:r>
              <w:t>Lixiana</w:t>
            </w:r>
            <w:proofErr w:type="spellEnd"/>
          </w:p>
        </w:tc>
        <w:tc>
          <w:tcPr>
            <w:tcW w:w="1670" w:type="pct"/>
            <w:vAlign w:val="center"/>
          </w:tcPr>
          <w:p w14:paraId="196731E9" w14:textId="77777777" w:rsidR="00027B46" w:rsidRPr="000F2F6F" w:rsidRDefault="00027B46" w:rsidP="00806698">
            <w:r w:rsidRPr="000F2F6F">
              <w:t xml:space="preserve">24 tuntia </w:t>
            </w:r>
          </w:p>
        </w:tc>
        <w:tc>
          <w:tcPr>
            <w:tcW w:w="1350" w:type="pct"/>
            <w:vAlign w:val="center"/>
          </w:tcPr>
          <w:p w14:paraId="26F26773" w14:textId="77777777" w:rsidR="00027B46" w:rsidRPr="000F2F6F" w:rsidRDefault="00027B46" w:rsidP="00806698">
            <w:r w:rsidRPr="000F2F6F">
              <w:t>-</w:t>
            </w:r>
          </w:p>
        </w:tc>
      </w:tr>
      <w:tr w:rsidR="00027B46" w:rsidRPr="000F2F6F" w14:paraId="44F3164A" w14:textId="77777777" w:rsidTr="00027B46">
        <w:trPr>
          <w:trHeight w:val="268"/>
          <w:tblCellSpacing w:w="0" w:type="dxa"/>
        </w:trPr>
        <w:tc>
          <w:tcPr>
            <w:tcW w:w="1980" w:type="pct"/>
            <w:vAlign w:val="center"/>
          </w:tcPr>
          <w:p w14:paraId="4EE74692" w14:textId="77777777" w:rsidR="00027B46" w:rsidRPr="000F2F6F" w:rsidRDefault="00027B46" w:rsidP="00806698">
            <w:pPr>
              <w:rPr>
                <w:lang w:val="it-IT"/>
              </w:rPr>
            </w:pPr>
            <w:r w:rsidRPr="000F2F6F">
              <w:rPr>
                <w:lang w:val="it-IT"/>
              </w:rPr>
              <w:t>Integrilin, Aggrastat</w:t>
            </w:r>
          </w:p>
        </w:tc>
        <w:tc>
          <w:tcPr>
            <w:tcW w:w="1670" w:type="pct"/>
            <w:vAlign w:val="center"/>
          </w:tcPr>
          <w:p w14:paraId="198B3146" w14:textId="77777777" w:rsidR="00027B46" w:rsidRPr="000F2F6F" w:rsidRDefault="00027B46" w:rsidP="00806698">
            <w:pPr>
              <w:rPr>
                <w:lang w:val="it-IT"/>
              </w:rPr>
            </w:pPr>
            <w:r w:rsidRPr="000F2F6F">
              <w:rPr>
                <w:lang w:val="it-IT"/>
              </w:rPr>
              <w:t>6 tuntia</w:t>
            </w:r>
          </w:p>
        </w:tc>
        <w:tc>
          <w:tcPr>
            <w:tcW w:w="1350" w:type="pct"/>
            <w:vAlign w:val="center"/>
          </w:tcPr>
          <w:p w14:paraId="0BEE02EE" w14:textId="77777777" w:rsidR="00027B46" w:rsidRPr="000F2F6F" w:rsidRDefault="00027B46" w:rsidP="00806698">
            <w:r w:rsidRPr="000F2F6F">
              <w:t>-</w:t>
            </w:r>
          </w:p>
        </w:tc>
      </w:tr>
    </w:tbl>
    <w:p w14:paraId="0F44565C" w14:textId="77777777" w:rsidR="00027B46" w:rsidRDefault="00027B46" w:rsidP="00027B46"/>
    <w:p w14:paraId="4BE14ED4" w14:textId="77777777" w:rsidR="00027B46" w:rsidRPr="00027B46" w:rsidRDefault="00027B46" w:rsidP="00027B46">
      <w:pPr>
        <w:pStyle w:val="Otsikko10"/>
        <w:rPr>
          <w:rStyle w:val="Otsikko1Char"/>
          <w:rFonts w:ascii="Arial" w:hAnsi="Arial" w:cstheme="majorHAnsi"/>
          <w:color w:val="06175E" w:themeColor="text1"/>
        </w:rPr>
      </w:pPr>
      <w:proofErr w:type="spellStart"/>
      <w:r w:rsidRPr="00027B46">
        <w:rPr>
          <w:rStyle w:val="Otsikko1Char"/>
          <w:rFonts w:ascii="Arial" w:hAnsi="Arial" w:cstheme="majorHAnsi"/>
          <w:color w:val="06175E" w:themeColor="text1"/>
        </w:rPr>
        <w:t>Pleuran</w:t>
      </w:r>
      <w:proofErr w:type="spellEnd"/>
      <w:r w:rsidRPr="00027B46">
        <w:rPr>
          <w:rStyle w:val="Otsikko1Char"/>
          <w:rFonts w:ascii="Arial" w:hAnsi="Arial" w:cstheme="majorHAnsi"/>
          <w:color w:val="06175E" w:themeColor="text1"/>
        </w:rPr>
        <w:t xml:space="preserve"> tai vatsaontelon punktiot ja </w:t>
      </w:r>
      <w:proofErr w:type="spellStart"/>
      <w:r w:rsidRPr="00027B46">
        <w:rPr>
          <w:rStyle w:val="Otsikko1Char"/>
          <w:rFonts w:ascii="Arial" w:hAnsi="Arial" w:cstheme="majorHAnsi"/>
          <w:color w:val="06175E" w:themeColor="text1"/>
        </w:rPr>
        <w:t>dreneeraukset</w:t>
      </w:r>
      <w:proofErr w:type="spellEnd"/>
      <w:r w:rsidRPr="00027B46">
        <w:rPr>
          <w:rStyle w:val="Otsikko1Char"/>
          <w:rFonts w:ascii="Arial" w:hAnsi="Arial" w:cstheme="majorHAnsi"/>
          <w:color w:val="06175E" w:themeColor="text1"/>
        </w:rPr>
        <w:t>:</w:t>
      </w:r>
    </w:p>
    <w:p w14:paraId="79E6CBD7" w14:textId="7FB624A0" w:rsidR="00AA2438" w:rsidRPr="00027B46" w:rsidRDefault="00027B46" w:rsidP="00432CB1">
      <w:proofErr w:type="spellStart"/>
      <w:r w:rsidRPr="00C557CF">
        <w:t>A</w:t>
      </w:r>
      <w:r>
        <w:t>ntitromboottista</w:t>
      </w:r>
      <w:proofErr w:type="spellEnd"/>
      <w:r>
        <w:t xml:space="preserve"> lääkitystä ei pääsääntöisesti tarvitse tauottaa. Hoitava lääkäri kirjaa </w:t>
      </w:r>
      <w:proofErr w:type="spellStart"/>
      <w:r>
        <w:t>rtg</w:t>
      </w:r>
      <w:proofErr w:type="spellEnd"/>
      <w:r>
        <w:t>-lähetteeseen maininnan verta ohentavasta lääkityksestä ja sen mahdollisesta tauotuksesta. Marevan-potilailla INR tulee olla ≤ 3.0.</w:t>
      </w:r>
    </w:p>
    <w:sectPr w:rsidR="00AA2438" w:rsidRPr="00027B46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C9122C" w:rsidRDefault="00C9122C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C9122C" w:rsidRDefault="00C91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288F17AF" w:rsidR="00027B46" w:rsidRDefault="00027B46" w:rsidP="00027B46">
          <w:pPr>
            <w:pStyle w:val="Alatunniste"/>
            <w:jc w:val="center"/>
          </w:pPr>
          <w:hyperlink r:id="rId1" w:history="1">
            <w:r w:rsidRPr="00EF0D95">
              <w:rPr>
                <w:rStyle w:val="Hyperlinkki"/>
              </w:rPr>
              <w:t>www.pohde.fi</w:t>
            </w:r>
          </w:hyperlink>
        </w:p>
      </w:tc>
    </w:tr>
  </w:tbl>
  <w:p w14:paraId="26A2C2ED" w14:textId="5DD05760" w:rsidR="009D2375" w:rsidRPr="00BD1530" w:rsidRDefault="009F5979" w:rsidP="00027B46">
    <w:pPr>
      <w:pStyle w:val="Eivli"/>
      <w:jc w:val="right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390978D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027B46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left:0;text-align:left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390978D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027B4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CBE7065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027B46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left:0;text-align:left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3CBE7065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027B4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027B46">
          <w:rPr>
            <w:sz w:val="16"/>
            <w:szCs w:val="16"/>
          </w:rPr>
          <w:t>Antitromboottisen</w:t>
        </w:r>
        <w:proofErr w:type="spellEnd"/>
        <w:r w:rsidR="00027B46">
          <w:rPr>
            <w:sz w:val="16"/>
            <w:szCs w:val="16"/>
          </w:rPr>
          <w:t xml:space="preserve"> lääkityksen tauottaminen</w:t>
        </w:r>
      </w:sdtContent>
    </w:sdt>
  </w:p>
  <w:p w14:paraId="7CC21439" w14:textId="291F25CF" w:rsidR="00824166" w:rsidRPr="00597075" w:rsidRDefault="00824166" w:rsidP="00027B46">
    <w:pPr>
      <w:tabs>
        <w:tab w:val="left" w:pos="7785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C9122C" w:rsidRDefault="00C9122C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C9122C" w:rsidRDefault="00C91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232896B" w:rsidR="000631E7" w:rsidRPr="004E7FC1" w:rsidRDefault="00027B4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14.10.2024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7868D438" w14:textId="77777777" w:rsidR="00C9122C" w:rsidRDefault="00C912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0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1"/>
  </w:num>
  <w:num w:numId="13" w16cid:durableId="70978191">
    <w:abstractNumId w:val="7"/>
  </w:num>
  <w:num w:numId="14" w16cid:durableId="240528770">
    <w:abstractNumId w:val="14"/>
  </w:num>
  <w:num w:numId="15" w16cid:durableId="452208856">
    <w:abstractNumId w:val="17"/>
  </w:num>
  <w:num w:numId="16" w16cid:durableId="1796949018">
    <w:abstractNumId w:val="8"/>
  </w:num>
  <w:num w:numId="17" w16cid:durableId="627246728">
    <w:abstractNumId w:val="4"/>
  </w:num>
  <w:num w:numId="18" w16cid:durableId="1203321292">
    <w:abstractNumId w:val="12"/>
  </w:num>
  <w:num w:numId="19" w16cid:durableId="338584785">
    <w:abstractNumId w:val="5"/>
  </w:num>
  <w:num w:numId="20" w16cid:durableId="1700349936">
    <w:abstractNumId w:val="20"/>
  </w:num>
  <w:num w:numId="21" w16cid:durableId="2002350878">
    <w:abstractNumId w:val="21"/>
  </w:num>
  <w:num w:numId="22" w16cid:durableId="204828846">
    <w:abstractNumId w:val="15"/>
  </w:num>
  <w:num w:numId="23" w16cid:durableId="440537796">
    <w:abstractNumId w:val="6"/>
  </w:num>
  <w:num w:numId="24" w16cid:durableId="495077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27B46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9122C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hd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180</Value>
      <Value>44</Value>
      <Value>42</Value>
      <Value>41</Value>
      <Value>1315</Value>
      <Value>617</Value>
      <Value>886</Value>
      <Value>1</Value>
      <Value>986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i:0#.w|oysnet\kariniju</DisplayName>
        <AccountId>215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tilaaja- että menetelmäohje</TermName>
          <TermId xmlns="http://schemas.microsoft.com/office/infopath/2007/PartnerControls">a980aedb-afa1-45e8-a272-d2520e7600a3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lääke-, varjo-, tai merkkiaineohje</TermName>
          <TermId xmlns="http://schemas.microsoft.com/office/infopath/2007/PartnerControls">bd9b1ce9-1a37-41bb-97f5-966abb5754f4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PPSHP-1249379545-6451</_dlc_DocId>
    <_dlc_DocIdPersistId xmlns="d3e50268-7799-48af-83c3-9a9b063078bc">false</_dlc_DocIdPersistId>
    <_dlc_DocIdUrl xmlns="d3e50268-7799-48af-83c3-9a9b063078bc">
      <Url>https://julkaisu.oysnet.ppshp.fi/_layouts/15/DocIdRedir.aspx?ID=PPSHP-1249379545-6451</Url>
      <Description>PPSHP-1249379545-6451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4A479-B7F0-4470-937B-A0BF0C7460D1}"/>
</file>

<file path=customXml/itemProps5.xml><?xml version="1.0" encoding="utf-8"?>
<ds:datastoreItem xmlns:ds="http://schemas.openxmlformats.org/officeDocument/2006/customXml" ds:itemID="{5BEB6B11-9411-4A3D-A57C-326F9F67577F}"/>
</file>

<file path=customXml/itemProps6.xml><?xml version="1.0" encoding="utf-8"?>
<ds:datastoreItem xmlns:ds="http://schemas.openxmlformats.org/officeDocument/2006/customXml" ds:itemID="{127C331E-F34B-426C-9E03-C4E0F4788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Antitromboottisen lääkityksen tauottaminen</dc:title>
  <dc:subject/>
  <dc:creator/>
  <cp:keywords/>
  <dc:description/>
  <cp:lastModifiedBy/>
  <cp:revision>1</cp:revision>
  <dcterms:created xsi:type="dcterms:W3CDTF">2024-10-14T08:45:00Z</dcterms:created>
  <dcterms:modified xsi:type="dcterms:W3CDTF">2024-10-14T08:45:00Z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986;#Kuvantamisen lääke-, varjo-, tai merkkiaineohje|bd9b1ce9-1a37-41bb-97f5-966abb5754f4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4ff01118-1222-4cf4-9b78-6623fad33c86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985;#Vatsa|742a4a75-8931-4b64-9de3-d85c3222646f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617;#Yleinen kuvantamisen ohje|e2b7b206-d2e3-4a37-82ab-5214084ee8de</vt:lpwstr>
  </property>
  <property fmtid="{D5CDD505-2E9C-101B-9397-08002B2CF9AE}" pid="29" name="Toiminnanohjauskäsikirja">
    <vt:lpwstr>180;#5.3.1.1 hoito-ohjeiden hallinta|b7d9d97a-a7b7-4eec-b389-062c48e444f7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1315;#Sekä tilaaja- että menetelmäohje|a980aedb-afa1-45e8-a272-d2520e7600a3</vt:lpwstr>
  </property>
  <property fmtid="{D5CDD505-2E9C-101B-9397-08002B2CF9AE}" pid="33" name="Toimenpidekoodit">
    <vt:lpwstr/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Ryhmät, toimikunnat, toimielimet">
    <vt:lpwstr/>
  </property>
  <property fmtid="{D5CDD505-2E9C-101B-9397-08002B2CF9AE}" pid="39" name="MEO">
    <vt:lpwstr/>
  </property>
  <property fmtid="{D5CDD505-2E9C-101B-9397-08002B2CF9AE}" pid="40" name="Kohdeorganisaatio">
    <vt:lpwstr>41;#Kuvantaminen|13fd9652-4cc4-4c00-9faf-49cd9c600ecb;#1;#Pohjois-Pohjanmaan sairaanhoitopiiri|be8cbbf1-c5fa-44e0-8d6c-f88ba4a3bcc6</vt:lpwstr>
  </property>
  <property fmtid="{D5CDD505-2E9C-101B-9397-08002B2CF9AE}" pid="41" name="Lomake (sisältötyypin metatieto)">
    <vt:lpwstr/>
  </property>
  <property fmtid="{D5CDD505-2E9C-101B-9397-08002B2CF9AE}" pid="42" name="Order">
    <vt:r8>645100</vt:r8>
  </property>
  <property fmtid="{D5CDD505-2E9C-101B-9397-08002B2CF9AE}" pid="44" name="_SourceUrl">
    <vt:lpwstr/>
  </property>
  <property fmtid="{D5CDD505-2E9C-101B-9397-08002B2CF9AE}" pid="45" name="_SharedFileIndex">
    <vt:lpwstr/>
  </property>
  <property fmtid="{D5CDD505-2E9C-101B-9397-08002B2CF9AE}" pid="46" name="TaxKeywordTaxHTField">
    <vt:lpwstr/>
  </property>
  <property fmtid="{D5CDD505-2E9C-101B-9397-08002B2CF9AE}" pid="47" name="SharedWithUsers">
    <vt:lpwstr/>
  </property>
</Properties>
</file>